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ascii="Times New Roman" w:hAnsi="Times New Roman" w:cs="Times New Roman"/>
          <w:color w:val="920000"/>
          <w:sz w:val="32"/>
          <w:szCs w:val="32"/>
        </w:rPr>
      </w:pPr>
      <w:r>
        <w:drawing>
          <wp:anchor behindDoc="0" distT="0" distB="0" distL="114300" distR="114300" simplePos="0" locked="0" layoutInCell="0" allowOverlap="1" relativeHeight="2">
            <wp:simplePos x="0" y="0"/>
            <wp:positionH relativeFrom="column">
              <wp:posOffset>4533900</wp:posOffset>
            </wp:positionH>
            <wp:positionV relativeFrom="paragraph">
              <wp:posOffset>635</wp:posOffset>
            </wp:positionV>
            <wp:extent cx="2256790" cy="1047750"/>
            <wp:effectExtent l="0" t="0" r="0" b="0"/>
            <wp:wrapTight wrapText="bothSides">
              <wp:wrapPolygon edited="0">
                <wp:start x="-54" y="0"/>
                <wp:lineTo x="-54" y="21106"/>
                <wp:lineTo x="21326" y="21106"/>
                <wp:lineTo x="21326" y="0"/>
                <wp:lineTo x="-54" y="0"/>
              </wp:wrapPolygon>
            </wp:wrapTight>
            <wp:docPr id="1" name="Рисунок 2" descr="ÐÐ°ÑÑÐ¸Ð½ÐºÐ¸ Ð¿Ð¾ Ð·Ð°Ð¿ÑÐ¾ÑÑ Ð»Ð¾Ð³Ð¾ÑÐ¸Ð¿ Ð±Ð¸Ð·Ð½ÐµÑ Ð¾ÐºÐ½Ð° Ð¼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ÐÐ°ÑÑÐ¸Ð½ÐºÐ¸ Ð¿Ð¾ Ð·Ð°Ð¿ÑÐ¾ÑÑ Ð»Ð¾Ð³Ð¾ÑÐ¸Ð¿ Ð±Ð¸Ð·Ð½ÐµÑ Ð¾ÐºÐ½Ð° Ð¼ÑÑ"/>
                    <pic:cNvPicPr>
                      <a:picLocks noChangeAspect="1" noChangeArrowheads="1"/>
                    </pic:cNvPicPr>
                  </pic:nvPicPr>
                  <pic:blipFill>
                    <a:blip r:embed="rId2"/>
                    <a:stretch>
                      <a:fillRect/>
                    </a:stretch>
                  </pic:blipFill>
                  <pic:spPr bwMode="auto">
                    <a:xfrm>
                      <a:off x="0" y="0"/>
                      <a:ext cx="2256790" cy="1047750"/>
                    </a:xfrm>
                    <a:prstGeom prst="rect">
                      <a:avLst/>
                    </a:prstGeom>
                  </pic:spPr>
                </pic:pic>
              </a:graphicData>
            </a:graphic>
          </wp:anchor>
        </w:drawing>
      </w:r>
      <w:r>
        <w:rPr>
          <w:rFonts w:cs="Times New Roman" w:ascii="Times New Roman" w:hAnsi="Times New Roman"/>
          <w:color w:val="920000"/>
          <w:sz w:val="32"/>
          <w:szCs w:val="32"/>
        </w:rPr>
        <w:t xml:space="preserve">Перечень услуг, предоставляемых субъектам малого и среднего предпринимательства </w:t>
      </w:r>
    </w:p>
    <w:p>
      <w:pPr>
        <w:pStyle w:val="Normal"/>
        <w:spacing w:lineRule="auto" w:line="240" w:before="0" w:after="120"/>
        <w:jc w:val="center"/>
        <w:rPr>
          <w:rFonts w:ascii="Times New Roman" w:hAnsi="Times New Roman" w:cs="Times New Roman"/>
          <w:color w:val="920000"/>
          <w:sz w:val="32"/>
          <w:szCs w:val="32"/>
        </w:rPr>
      </w:pPr>
      <w:r>
        <w:rPr>
          <w:rFonts w:cs="Times New Roman" w:ascii="Times New Roman" w:hAnsi="Times New Roman"/>
          <w:color w:val="920000"/>
          <w:sz w:val="32"/>
          <w:szCs w:val="32"/>
        </w:rPr>
        <w:t>в «окне для бизнеса»</w:t>
      </w:r>
    </w:p>
    <w:p>
      <w:pPr>
        <w:pStyle w:val="Normal"/>
        <w:spacing w:lineRule="auto" w:line="240" w:before="0" w:after="120"/>
        <w:jc w:val="center"/>
        <w:rPr>
          <w:rFonts w:ascii="Times New Roman" w:hAnsi="Times New Roman" w:cs="Times New Roman"/>
          <w:color w:val="C00000"/>
          <w:sz w:val="32"/>
          <w:szCs w:val="32"/>
        </w:rPr>
      </w:pPr>
      <w:r>
        <w:rPr>
          <w:rFonts w:cs="Times New Roman" w:ascii="Times New Roman" w:hAnsi="Times New Roman"/>
          <w:color w:val="920000"/>
          <w:sz w:val="32"/>
          <w:szCs w:val="32"/>
        </w:rPr>
        <w:t>АУ ХМАО-Югры «МФЦ в городе Пыть-Яха»</w:t>
      </w:r>
    </w:p>
    <w:p>
      <w:pPr>
        <w:pStyle w:val="Normal"/>
        <w:spacing w:lineRule="auto" w:line="240" w:before="0" w:after="120"/>
        <w:jc w:val="center"/>
        <w:rPr>
          <w:rFonts w:ascii="Times New Roman" w:hAnsi="Times New Roman" w:cs="Times New Roman"/>
          <w:sz w:val="32"/>
          <w:szCs w:val="32"/>
        </w:rPr>
      </w:pPr>
      <w:r>
        <w:rPr>
          <w:rFonts w:cs="Times New Roman" w:ascii="Times New Roman" w:hAnsi="Times New Roman"/>
          <w:sz w:val="32"/>
          <w:szCs w:val="32"/>
        </w:rPr>
      </w:r>
    </w:p>
    <w:tbl>
      <w:tblPr>
        <w:tblStyle w:val="a3"/>
        <w:tblW w:w="10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24"/>
        <w:gridCol w:w="797"/>
        <w:gridCol w:w="6706"/>
      </w:tblGrid>
      <w:tr>
        <w:trPr/>
        <w:tc>
          <w:tcPr>
            <w:tcW w:w="3124"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органа власти (органа местного самоуправления)</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п/п</w:t>
            </w:r>
          </w:p>
        </w:tc>
        <w:tc>
          <w:tcPr>
            <w:tcW w:w="6706" w:type="dxa"/>
            <w:tcBorders/>
          </w:tcPr>
          <w:p>
            <w:pPr>
              <w:pStyle w:val="Normal"/>
              <w:widowControl/>
              <w:spacing w:lineRule="auto" w:line="240" w:before="12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услуги</w:t>
            </w:r>
          </w:p>
        </w:tc>
      </w:tr>
      <w:tr>
        <w:trPr/>
        <w:tc>
          <w:tcPr>
            <w:tcW w:w="3124" w:type="dxa"/>
            <w:vMerge w:val="restart"/>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color w:val="920000"/>
                <w:kern w:val="0"/>
                <w:sz w:val="24"/>
                <w:szCs w:val="24"/>
                <w:lang w:val="ru-RU" w:eastAsia="en-US" w:bidi="ar-SA"/>
              </w:rPr>
              <w:t>Администрация города Пыть-Яха</w:t>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Выдача разрешений на установку и эксплуатацию рекламных конструкций.</w:t>
            </w:r>
          </w:p>
        </w:tc>
      </w:tr>
      <w:tr>
        <w:trPr>
          <w:trHeight w:val="39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Прием заявлений и выдача документов о согласовании переустройства и (или) перепланировки жилого помещения. </w:t>
            </w:r>
          </w:p>
        </w:tc>
      </w:tr>
      <w:tr>
        <w:trPr>
          <w:trHeight w:val="435"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r>
      <w:tr>
        <w:trPr>
          <w:trHeight w:val="411"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Выдача градостроительного плана земельного участка. </w:t>
            </w:r>
          </w:p>
        </w:tc>
      </w:tr>
      <w:tr>
        <w:trPr>
          <w:trHeight w:val="51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Присвоение объекту адресации адреса, аннулирование его адреса. </w:t>
            </w:r>
          </w:p>
        </w:tc>
      </w:tr>
      <w:tr>
        <w:trPr>
          <w:trHeight w:val="27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r>
      <w:tr>
        <w:trPr>
          <w:trHeight w:val="57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разрешения на условно разрешенный вид использования земельного участка или объекта капитального строительства</w:t>
            </w:r>
          </w:p>
        </w:tc>
      </w:tr>
      <w:tr>
        <w:trPr>
          <w:trHeight w:val="255"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trPr>
          <w:trHeight w:val="57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r>
        <w:trPr>
          <w:trHeight w:val="1015"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r>
      <w:tr>
        <w:trPr>
          <w:trHeight w:val="69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Оказание финансовой поддержки субъектам малого и среднего предпринимательства</w:t>
            </w:r>
          </w:p>
        </w:tc>
      </w:tr>
      <w:tr>
        <w:trPr>
          <w:trHeight w:val="739"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Утверждение схемы расположения земельного участка или земельных участков на кадастровом плане территории</w:t>
            </w:r>
          </w:p>
        </w:tc>
      </w:tr>
      <w:tr>
        <w:trPr>
          <w:trHeight w:val="30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сведений из реестра муниципального имущества</w:t>
            </w:r>
          </w:p>
        </w:tc>
      </w:tr>
      <w:tr>
        <w:trPr>
          <w:trHeight w:val="999"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trPr>
          <w:trHeight w:val="298"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6706" w:type="dxa"/>
            <w:tcBorders/>
          </w:tcPr>
          <w:p>
            <w:pPr>
              <w:pStyle w:val="Normal"/>
              <w:widowControl/>
              <w:spacing w:lineRule="auto" w:line="240" w:before="120" w:after="120"/>
              <w:jc w:val="both"/>
              <w:rPr>
                <w:rFonts w:ascii="Times New Roman" w:hAnsi="Times New Roman" w:cs="Times New Roman"/>
                <w:kern w:val="2"/>
                <w:sz w:val="24"/>
                <w:szCs w:val="24"/>
              </w:rPr>
            </w:pPr>
            <w:r>
              <w:rPr>
                <w:rFonts w:eastAsia="Calibri" w:cs="Times New Roman" w:ascii="Times New Roman" w:hAnsi="Times New Roman"/>
                <w:kern w:val="2"/>
                <w:sz w:val="24"/>
                <w:szCs w:val="24"/>
                <w:lang w:val="ru-RU" w:eastAsia="en-US" w:bidi="ar-SA"/>
              </w:rPr>
              <w:t>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Пыть-Ях о местных налогах и сборах</w:t>
              <w:tab/>
              <w:tab/>
            </w:r>
          </w:p>
        </w:tc>
      </w:tr>
      <w:tr>
        <w:trPr>
          <w:trHeight w:val="525" w:hRule="atLeast"/>
        </w:trPr>
        <w:tc>
          <w:tcPr>
            <w:tcW w:w="3124" w:type="dxa"/>
            <w:vMerge w:val="restart"/>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color w:val="920000"/>
                <w:kern w:val="0"/>
                <w:sz w:val="24"/>
                <w:szCs w:val="24"/>
                <w:lang w:val="ru-RU" w:eastAsia="en-US" w:bidi="ar-SA"/>
              </w:rPr>
              <w:t>Акционерное общество "Федеральная корпорация по развитию малого и среднего предпринимательства"</w:t>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Услуга по подбору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 209-ФЗ «О развитии малого и среднего предпринимательства в Российской Федерации», и свободном от прав третьих лиц</w:t>
            </w:r>
          </w:p>
        </w:tc>
      </w:tr>
      <w:tr>
        <w:trPr>
          <w:trHeight w:val="60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w:t>
            </w:r>
          </w:p>
        </w:tc>
      </w:tr>
      <w:tr>
        <w:trPr>
          <w:trHeight w:val="45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tc>
      </w:tr>
      <w:tr>
        <w:trPr>
          <w:trHeight w:val="69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r>
      <w:tr>
        <w:trPr>
          <w:trHeight w:val="60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r>
      <w:tr>
        <w:trPr>
          <w:trHeight w:val="445"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Услуга по регистрации на Портале Бизнес-навигатора МСП</w:t>
            </w:r>
          </w:p>
        </w:tc>
      </w:tr>
      <w:tr>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Услуга по информированию о тренингах по программам обучения АО "Корпарации "МСП" и электронной записи на участие в таких тренингах</w:t>
            </w:r>
          </w:p>
        </w:tc>
      </w:tr>
      <w:tr>
        <w:trPr>
          <w:trHeight w:val="630" w:hRule="atLeast"/>
        </w:trPr>
        <w:tc>
          <w:tcPr>
            <w:tcW w:w="3124"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Комплексная услуга по предоставлению информации о формах и условиях поддержки сельскохозяйственной кооперации</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Фонд «Югорская региональная микрокредитная компания»</w:t>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120" w:after="12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Консультация по финансовой поддержке, предоставляемой Фондом «Югорская региональная микрокредитная компания» субъектам малого и среднего предпринимательства</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Уполномоченный по защите прав предпринимателей в ХМАО-Югре</w:t>
              <w:tab/>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120" w:after="12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Организация взаимодействия в целях защиты прав, свобод и законных интересов субъектов предпринимательской деятельности на территории Ханты-Мансийского автономного округа - Югры</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Фонд "Центр координации поддержки экспортно-ориентированных субъектов малого и среднего предпринимательства Югры"</w:t>
            </w:r>
          </w:p>
        </w:tc>
        <w:tc>
          <w:tcPr>
            <w:tcW w:w="7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120" w:after="12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Консультация по поддержкам, предоставляемым Фондом "Центр координации поддержки экспортно-ориентированных субъектов малого и среднего предпринимательства Югры" субъектам малого и среднего предпринимательства</w:t>
            </w:r>
          </w:p>
        </w:tc>
      </w:tr>
      <w:tr>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Департамент экономического развития Ханты-Мансийского автономного округа - Югры</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Лицензирование розничной продажи алкогольной продукции на территории Ханты-Мансийского автономного округа - Югры</w:t>
            </w:r>
          </w:p>
        </w:tc>
      </w:tr>
      <w:tr>
        <w:trPr>
          <w:trHeight w:val="55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Лицензирование заготовки, хранения, переработки и реализации лома черных металлов, цветных металлов на территории Ханты-Мансийского автономного округа - Югры</w:t>
            </w:r>
          </w:p>
        </w:tc>
      </w:tr>
      <w:tr>
        <w:trPr>
          <w:trHeight w:val="87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информации о видах поддержки субъектов малого и среднего предпринимательства Ханты-Мансийского автономного округа - Югры</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Включение (изменение (исключение)) сведений в торговый реестр Ханты-Мансийского автономного округа - Югры, предоставление информации из торгового реестра Ханты-Мансийского автономного округа - Югры</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Признание субъекта малого и среднего предпринимательства Ханты-Мансийского автономного округа - Югры социальным предприятием</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Служба государственного надзора за техническим состоянием самоходных машин и других видов техники ХМАО - Югры</w:t>
              <w:tab/>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120" w:after="12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Выдача разрешения на осуществление деятельности по перевозке пассажиров и багажа легковым такси на территории Ханты-Мансийского автономного округа – Югры</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Служба по контролю и надзору в сфере здравоохранения Ханты-Мансийского автономного округа – Югры</w:t>
              <w:tab/>
              <w:tab/>
              <w:tab/>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vAlign w:val="center"/>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Северо-Уральское Межрегиональное управление Госавтонадзора (Ространснадзор)</w:t>
              <w:tab/>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vAlign w:val="center"/>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trPr>
          <w:trHeight w:val="735" w:hRule="atLeast"/>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Департамент по управлению государственным имуществом ХМАО - Югры</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информации об объектах недвижимого имущества, находящихся в государственной собственности Ханты-Мансийского автономного округа - Югры и предназначенных для сдачи в аренду</w:t>
            </w:r>
          </w:p>
        </w:tc>
      </w:tr>
      <w:tr>
        <w:trPr>
          <w:trHeight w:val="70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сведений, содержащихся в реестре государственного имущества Ханты-Мансийского автономного округа - Югры</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op w:val="nil"/>
              <w:left w:val="nil"/>
              <w:bottom w:val="nil"/>
              <w:right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Передача в аренду, безвозмездное пользование имущества, находящегося в собственности Ханты-Мансийского автономного округа - Югры, за исключением земельных участков и жилых помещений</w:t>
            </w:r>
          </w:p>
        </w:tc>
      </w:tr>
      <w:tr>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Департамент недропользования и природных ресурсов ХМАО - Югры</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op w:val="single" w:sz="8" w:space="0" w:color="000000"/>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водных объектов или их частей, находящихся в федеральной собственности и расположенных на территории Ханты-Мансийского автономного округа - Югры, в пользование на основании решений о предоставлении водных объектов в пользование</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водных объектов или их частей, находящихся в федеральной собственности и расположенных на территории Ханты-Мансийского автономного округа - Югры, в пользование на основании договоров водопользования</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водных объектов или их частей, находящихся в собственности Ханты-Мансийского автономного округа - Югры, в пользование на основании договора водопользования</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водных объектов или их частей, находящихся в собственности Ханты-Мансийского автономного округа - Югры, в пользование на основании решений о предоставлении водных объектов в пользование</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Проведение государственной экспертизы проектов освоения лесов, расположенных на землях лесного фонда</w:t>
              <w:tab/>
              <w:tab/>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выписки 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выписки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лесных деклараций и отчетов об использовании лесов от граждан, юридических лиц, осуществляющих использование лесов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 границах земель лесного фонда лесных участков в аренду (без проведения торгов)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6706" w:type="dxa"/>
            <w:tcBorders>
              <w:top w:val="nil"/>
              <w:bottom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6706" w:type="dxa"/>
            <w:tcBorders>
              <w:top w:val="single" w:sz="8" w:space="0" w:color="000000"/>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Выдача юридическим лицам и индивидуальным предпринимателям бланков разрешений на добычу охотничьих ресурсов для последующей выдачи таких разрешений физическим лицам в случаях осуществления ими охоты в закрепленных охотничьих угодьях Ханты-Мансийского автономного округа - Югры</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лимитируемую продукцию охоты</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приобретение северных оленей</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tc>
      </w:tr>
      <w:tr>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Департамент промышленности ХМАО - Югры</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op w:val="single" w:sz="8" w:space="0" w:color="000000"/>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развитие племенного животноводства,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вовлечение в сельскохозяйственный оборот сельскохозяйственных угодий и лесных участков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приобретение племенного молодняка сельскохозяйственных животных, клеточных пушных зверей</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развитие северного оленеводства</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уплату процентов по кредитам (займам)</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субсидий на повышение эффективности использования и развитие ресурсного потенциала рыбохозяйственного комплекса</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участие в выставках, ярмарках</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субсидий на развитие системы заготовки и переработки дикоросов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повышение продуктивности в молочном скотоводстве</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гранта в форме субсидии на поддержку начинающих фермеров*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гранта в форме субсидии на развитие семейных ферм*</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гранта в форме субсидии на реализацию проектов по заготовке и переработке дикоросов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субсидий на реализацию инвестиционных проектов (строительство тепличных комплексов)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субсидий на создание и модернизацию объектов агропромышленного комплекса и объектов рыбоводной инфраструктуры</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грантов в форме субсидии на поддержку сельскохозяйственных потребительских кооперативов для развития материально-технической базы</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19</w:t>
            </w:r>
          </w:p>
        </w:tc>
        <w:tc>
          <w:tcPr>
            <w:tcW w:w="6706" w:type="dxa"/>
            <w:tcBorders>
              <w:top w:val="nil"/>
            </w:tcBorders>
            <w:shd w:color="auto" w:fill="auto" w:val="clear"/>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грантов в форме субсидии на создание высокотехнологических (роботизированных) животноводческих комплексов</w:t>
            </w:r>
          </w:p>
        </w:tc>
      </w:tr>
      <w:tr>
        <w:trPr>
          <w:trHeight w:val="225" w:hRule="atLeast"/>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УФНС России по ХМАО-Югре</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Государственная регистрация юридических лиц, физических лиц в качестве индивидуальных предпринимателей и крестьянских (фермерских) хозяйств (Услуга включена в перечень в соответствии с постановлением № 797)</w:t>
            </w:r>
          </w:p>
        </w:tc>
      </w:tr>
      <w:tr>
        <w:trPr>
          <w:trHeight w:val="16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заинтересованным лицам сведений, содержащихся в реестре дисквалифицированных лиц (Услуга включена в перечень в соответствии с постановлением № 797)</w:t>
            </w:r>
          </w:p>
        </w:tc>
      </w:tr>
      <w:tr>
        <w:trPr>
          <w:trHeight w:val="149"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 (Услуга включена в перечень в соответствии с постановлением № 797)</w:t>
            </w:r>
          </w:p>
        </w:tc>
      </w:tr>
      <w:tr>
        <w:trPr>
          <w:trHeight w:val="18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(Услуга включена в перечень в соответствии с постановлением № 797)</w:t>
            </w:r>
          </w:p>
        </w:tc>
      </w:tr>
      <w:tr>
        <w:trPr>
          <w:trHeight w:val="28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(Услуга включена в перечень в соответствии с постановлением № 797)</w:t>
            </w:r>
          </w:p>
        </w:tc>
      </w:tr>
      <w:tr>
        <w:trPr>
          <w:trHeight w:val="19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(Услуга предоставляется не ранее 1 апреля 2020 г. (начиная с информации за отчетный период 2019 года), после вступления в силу Административного регламента Федеральной налоговой службы предоставления государственной услуги по предоставлению информации, содержащейся в государственном информационном ресурсе бухгалтерской (финансовой) отчетности, утвержденного приказом ФНС России от 25.11.2019 № ММВ-7-1/586@)</w:t>
            </w:r>
          </w:p>
        </w:tc>
      </w:tr>
      <w:tr>
        <w:trPr>
          <w:trHeight w:val="27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Предоставление сведений, содержащихся в государственном адресном реестре</w:t>
            </w:r>
          </w:p>
        </w:tc>
      </w:tr>
      <w:tr>
        <w:trPr>
          <w:trHeight w:val="22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запроса о предоставлении акта совместной сверки расчетов по налогам, сборам, страховым взносам, пеням, штрафам, процентам</w:t>
            </w:r>
          </w:p>
        </w:tc>
      </w:tr>
      <w:tr>
        <w:trPr>
          <w:trHeight w:val="28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заявления к налоговому уведомлению об уточнении сведений об объектах, указанных в налоговом уведомлении</w:t>
            </w:r>
          </w:p>
        </w:tc>
      </w:tr>
      <w:tr>
        <w:trPr>
          <w:trHeight w:val="224"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запроса о предоставлении справки о состоянии расчетов по налогам, сборам, страховым  взносам,  пеням,  штрафам,  процентам  организаций  и индивидуальных предпринимателей</w:t>
            </w:r>
          </w:p>
        </w:tc>
      </w:tr>
      <w:tr>
        <w:trPr>
          <w:trHeight w:val="30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заявления о выборе системы налогообложения при принятии документов на государственную регистрацию</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заявления на получение патента</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уведомления о переходе на упрощенную систему налогообложения</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уведомления о переходе на систему налогообложения для сельскохозяйственных товаропроизводителей</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заявления в Единый регистрационный центр о  внесении  ограничений на использование персональных данных физических лиц в целях предотвращения возможности неправомерной государственной регистрации юридических лиц и внесения недостоверных сведений в Единый государственный реестр юридических лиц</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w:t>
            </w:r>
          </w:p>
        </w:tc>
        <w:tc>
          <w:tcPr>
            <w:tcW w:w="6706" w:type="dxa"/>
            <w:tcBorders/>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kern w:val="0"/>
                <w:sz w:val="24"/>
                <w:szCs w:val="24"/>
                <w:lang w:val="ru-RU" w:eastAsia="en-US" w:bidi="ar-SA"/>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(Услуга предоставляется не ранее 1 апреля 2020 г. (начиная с информации за отчетный период 2019 года), после вступления в силу Административного регламента Федеральной налоговой службы предоставления государственной услуги по предоставлению информации, содержащейся в государственном информационном ресурсе бухгалтерской (финансовой) отчетности, утвержденного приказом ФНС России от 25.11.2019 № ММВ-7-1/586@)</w:t>
            </w:r>
          </w:p>
        </w:tc>
      </w:tr>
      <w:tr>
        <w:trPr>
          <w:trHeight w:val="339" w:hRule="atLeast"/>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Приём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r>
      <w:tr>
        <w:trPr>
          <w:trHeight w:val="19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r>
      <w:tr>
        <w:trPr>
          <w:trHeight w:val="33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Регистрация и снятие с регистрационного учета страхователей - физических лиц, заключивших трудовой договор с работником</w:t>
            </w:r>
          </w:p>
        </w:tc>
      </w:tr>
      <w:tr>
        <w:trPr>
          <w:trHeight w:val="28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Регистрация и снятие с учета страхователей - физических лиц, обязанных уплачивать страховые взносы в связи с заключением гражданско-правового договора</w:t>
            </w:r>
          </w:p>
        </w:tc>
      </w:tr>
      <w:tr>
        <w:trPr>
          <w:trHeight w:val="36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Регистрация и снятие с регистрационного учета страхователей - юридических лиц по месту нахождения обособленных подразделений</w:t>
            </w:r>
          </w:p>
        </w:tc>
      </w:tr>
      <w:tr>
        <w:trPr>
          <w:trHeight w:val="28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r>
      <w:tr>
        <w:trPr>
          <w:trHeight w:val="27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r>
      <w:tr>
        <w:trPr>
          <w:trHeight w:val="18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заявителей при наличии прямых последствий страхового случая</w:t>
            </w:r>
          </w:p>
        </w:tc>
      </w:tr>
      <w:tr>
        <w:trPr>
          <w:trHeight w:val="34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страховой выплаты застрахованному либо лицам, имеющим право на получение страховых выплат в случае его смерти</w:t>
            </w:r>
          </w:p>
        </w:tc>
      </w:tr>
      <w:tr>
        <w:trPr>
          <w:trHeight w:val="195"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trPr>
          <w:trHeight w:val="300" w:hRule="atLeast"/>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670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Установление страхователям скидки к страховому тарифу на обязательное социальное страхование от несчастных случаев на производстве и профессиональных заболеваний</w:t>
            </w:r>
          </w:p>
        </w:tc>
      </w:tr>
      <w:tr>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ФГБУ «Федеральная кадастровая палата Федеральной службы государственной регистрации, кадастра и картографии по ХМАО-Югре»</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Государственная услуга по предоставлению сведений, содержащихся в Едином государственном реестре недвижимости</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6706" w:type="dxa"/>
            <w:tcBorders/>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Прием заявлений о предоставлении земельных участков на Дальнем Востоке Российской Федерации в соответствии с Законом № 119-ФЗ</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Управление Федеральной службы судебных приставов по ХМАО - Югре</w:t>
              <w:tab/>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Предоставление информации по находящимся на исполнении исполнительным производствам в отношении физического и юридического лица</w:t>
            </w:r>
          </w:p>
        </w:tc>
      </w:tr>
      <w:tr>
        <w:trPr/>
        <w:tc>
          <w:tcPr>
            <w:tcW w:w="3124" w:type="dxa"/>
            <w:vMerge w:val="restart"/>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Межрегиональное территориальное управление Росимущества в Тюменской области, Ханты-Мансийском автономном округе – Югре, Ямало-Ненецком автономном округе</w:t>
              <w:tab/>
              <w:tab/>
              <w:tab/>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shd w:color="auto" w:fill="auto" w:val="clear"/>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r>
      <w:tr>
        <w:trPr/>
        <w:tc>
          <w:tcPr>
            <w:tcW w:w="3124" w:type="dxa"/>
            <w:vMerge w:val="continue"/>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2"/>
                <w:szCs w:val="22"/>
                <w:lang w:val="ru-RU" w:eastAsia="en-US" w:bidi="ar-SA"/>
              </w:rPr>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6706" w:type="dxa"/>
            <w:tcBorders>
              <w:top w:val="nil"/>
            </w:tcBorders>
            <w:shd w:color="auto" w:fill="auto" w:val="clear"/>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Осуществление в установленном порядке выдачи выписок из реестра федерального имущества</w:t>
            </w:r>
          </w:p>
        </w:tc>
      </w:tr>
      <w:tr>
        <w:trPr/>
        <w:tc>
          <w:tcPr>
            <w:tcW w:w="3124" w:type="dxa"/>
            <w:tcBorders/>
          </w:tcPr>
          <w:p>
            <w:pPr>
              <w:pStyle w:val="Normal"/>
              <w:widowControl/>
              <w:spacing w:lineRule="auto" w:line="240" w:before="0" w:after="120"/>
              <w:jc w:val="center"/>
              <w:rPr>
                <w:rFonts w:ascii="Times New Roman" w:hAnsi="Times New Roman" w:cs="Times New Roman"/>
                <w:color w:val="920000"/>
                <w:sz w:val="24"/>
                <w:szCs w:val="24"/>
              </w:rPr>
            </w:pPr>
            <w:r>
              <w:rPr>
                <w:rFonts w:eastAsia="Calibri" w:cs="Times New Roman" w:ascii="Times New Roman" w:hAnsi="Times New Roman"/>
                <w:color w:val="920000"/>
                <w:kern w:val="0"/>
                <w:sz w:val="24"/>
                <w:szCs w:val="24"/>
                <w:lang w:val="ru-RU" w:eastAsia="en-US" w:bidi="ar-SA"/>
              </w:rPr>
              <w:t>Управление Министерства Внутренних Дел РФ по ХМАО - Югре</w:t>
            </w:r>
          </w:p>
        </w:tc>
        <w:tc>
          <w:tcPr>
            <w:tcW w:w="797" w:type="dxa"/>
            <w:tcBorders/>
          </w:tcPr>
          <w:p>
            <w:pPr>
              <w:pStyle w:val="Normal"/>
              <w:widowControl/>
              <w:spacing w:lineRule="auto" w:line="240" w:before="0" w:after="12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6706" w:type="dxa"/>
            <w:tcBorders/>
          </w:tcPr>
          <w:p>
            <w:pPr>
              <w:pStyle w:val="Normal"/>
              <w:widowControl/>
              <w:spacing w:lineRule="auto" w:line="240" w:before="120" w:after="120"/>
              <w:jc w:val="both"/>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ru-RU" w:eastAsia="en-US" w:bidi="ar-SA"/>
              </w:rPr>
              <w:t xml:space="preserve">Осуществление миграционного учета иностранных граждан и лиц без гражданства в Российской Федерации </w:t>
            </w:r>
          </w:p>
        </w:tc>
      </w:tr>
    </w:tbl>
    <w:p>
      <w:pPr>
        <w:pStyle w:val="Normal"/>
        <w:spacing w:lineRule="auto" w:line="240" w:before="0" w:after="120"/>
        <w:jc w:val="center"/>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spacing w:before="0" w:after="160"/>
        <w:jc w:val="center"/>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6fa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4c05f0"/>
    <w:rPr/>
  </w:style>
  <w:style w:type="character" w:styleId="Style15" w:customStyle="1">
    <w:name w:val="Нижний колонтитул Знак"/>
    <w:basedOn w:val="DefaultParagraphFont"/>
    <w:link w:val="a6"/>
    <w:uiPriority w:val="99"/>
    <w:qFormat/>
    <w:rsid w:val="004c05f0"/>
    <w:rPr/>
  </w:style>
  <w:style w:type="character" w:styleId="Style16" w:customStyle="1">
    <w:name w:val="Текст выноски Знак"/>
    <w:basedOn w:val="DefaultParagraphFont"/>
    <w:link w:val="a8"/>
    <w:uiPriority w:val="99"/>
    <w:semiHidden/>
    <w:qFormat/>
    <w:rsid w:val="001030aa"/>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4c05f0"/>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4c05f0"/>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1030a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56f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LibreOffice/7.1.5.2$Windows_X86_64 LibreOffice_project/85f04e9f809797b8199d13c421bd8a2b025d52b5</Application>
  <AppVersion>15.0000</AppVersion>
  <Pages>9</Pages>
  <Words>2467</Words>
  <Characters>18605</Characters>
  <CharactersWithSpaces>20867</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2021-09-08T12:48:00Z</dcterms:created>
  <dc:creator>Лещенко Лилия Евгеньевна</dc:creator>
  <dc:description/>
  <dc:language>ru-RU</dc:language>
  <cp:lastModifiedBy/>
  <cp:lastPrinted>2021-09-10T18:05:59Z</cp:lastPrinted>
  <dcterms:modified xsi:type="dcterms:W3CDTF">2021-09-10T18:23:29Z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